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3975"/>
      </w:tblGrid>
      <w:tr w:rsidR="004F556B" w:rsidRPr="008C524F" w:rsidTr="004F556B">
        <w:tc>
          <w:tcPr>
            <w:tcW w:w="6048" w:type="dxa"/>
          </w:tcPr>
          <w:p w:rsidR="004F556B" w:rsidRPr="00263D00" w:rsidRDefault="00263D00" w:rsidP="00263D00">
            <w:pPr>
              <w:pStyle w:val="Header"/>
              <w:spacing w:before="120" w:after="120" w:line="276" w:lineRule="auto"/>
              <w:jc w:val="center"/>
              <w:rPr>
                <w:rFonts w:asciiTheme="minorHAnsi" w:hAnsiTheme="minorHAnsi"/>
                <w:b/>
              </w:rPr>
            </w:pPr>
            <w:r w:rsidRPr="00263D00">
              <w:rPr>
                <w:rFonts w:asciiTheme="minorHAnsi" w:hAnsiTheme="minorHAnsi"/>
                <w:b/>
              </w:rPr>
              <w:t xml:space="preserve">                                                                       Finance &amp; Accounts</w:t>
            </w:r>
          </w:p>
        </w:tc>
        <w:tc>
          <w:tcPr>
            <w:tcW w:w="3975" w:type="dxa"/>
          </w:tcPr>
          <w:p w:rsidR="004F556B" w:rsidRPr="00263D00" w:rsidRDefault="004F556B" w:rsidP="00263D00">
            <w:pPr>
              <w:pStyle w:val="Header"/>
              <w:spacing w:before="120" w:after="120" w:line="276" w:lineRule="auto"/>
              <w:jc w:val="center"/>
              <w:rPr>
                <w:rFonts w:asciiTheme="minorHAnsi" w:hAnsiTheme="minorHAnsi"/>
                <w:b/>
              </w:rPr>
            </w:pPr>
          </w:p>
        </w:tc>
      </w:tr>
      <w:tr w:rsidR="00546C64" w:rsidRPr="008C524F" w:rsidTr="00D477A3">
        <w:trPr>
          <w:trHeight w:val="333"/>
        </w:trPr>
        <w:tc>
          <w:tcPr>
            <w:tcW w:w="6048" w:type="dxa"/>
          </w:tcPr>
          <w:p w:rsidR="00546C64" w:rsidRPr="00263D00" w:rsidRDefault="00546C64" w:rsidP="00263D00">
            <w:pPr>
              <w:spacing w:before="120" w:after="120" w:line="276" w:lineRule="auto"/>
              <w:jc w:val="both"/>
              <w:textAlignment w:val="top"/>
              <w:rPr>
                <w:rFonts w:asciiTheme="minorHAnsi" w:hAnsiTheme="minorHAnsi"/>
                <w:b/>
                <w:bCs/>
                <w:color w:val="000000" w:themeColor="text1"/>
                <w:kern w:val="36"/>
                <w:sz w:val="22"/>
                <w:szCs w:val="22"/>
              </w:rPr>
            </w:pPr>
            <w:r w:rsidRPr="00263D00">
              <w:rPr>
                <w:rFonts w:asciiTheme="minorHAnsi" w:hAnsiTheme="minorHAnsi"/>
                <w:b/>
                <w:bCs/>
                <w:sz w:val="22"/>
                <w:szCs w:val="22"/>
              </w:rPr>
              <w:t>Circular No: MSE/</w:t>
            </w:r>
            <w:r w:rsidR="00263D00" w:rsidRPr="00263D00">
              <w:rPr>
                <w:rFonts w:asciiTheme="minorHAnsi" w:hAnsiTheme="minorHAnsi"/>
                <w:b/>
                <w:bCs/>
                <w:sz w:val="22"/>
                <w:szCs w:val="22"/>
              </w:rPr>
              <w:t>F&amp;A</w:t>
            </w:r>
            <w:r w:rsidR="00852F94" w:rsidRPr="00263D00">
              <w:rPr>
                <w:rFonts w:asciiTheme="minorHAnsi" w:hAnsiTheme="minorHAnsi"/>
                <w:b/>
                <w:bCs/>
                <w:sz w:val="22"/>
                <w:szCs w:val="22"/>
              </w:rPr>
              <w:t>/</w:t>
            </w:r>
            <w:r w:rsidR="00263D00" w:rsidRPr="00263D00">
              <w:rPr>
                <w:rFonts w:asciiTheme="minorHAnsi" w:hAnsiTheme="minorHAnsi"/>
                <w:b/>
                <w:bCs/>
                <w:sz w:val="22"/>
                <w:szCs w:val="22"/>
              </w:rPr>
              <w:t>7761</w:t>
            </w:r>
            <w:r w:rsidRPr="00263D00">
              <w:rPr>
                <w:rFonts w:asciiTheme="minorHAnsi" w:hAnsiTheme="minorHAnsi"/>
                <w:b/>
                <w:bCs/>
                <w:sz w:val="22"/>
                <w:szCs w:val="22"/>
              </w:rPr>
              <w:t>/</w:t>
            </w:r>
            <w:r w:rsidR="00263D00" w:rsidRPr="00263D00">
              <w:rPr>
                <w:rFonts w:asciiTheme="minorHAnsi" w:hAnsiTheme="minorHAnsi"/>
                <w:b/>
                <w:bCs/>
                <w:sz w:val="22"/>
                <w:szCs w:val="22"/>
              </w:rPr>
              <w:t>2019</w:t>
            </w:r>
          </w:p>
        </w:tc>
        <w:tc>
          <w:tcPr>
            <w:tcW w:w="3975" w:type="dxa"/>
          </w:tcPr>
          <w:p w:rsidR="00546C64" w:rsidRPr="00263D00" w:rsidRDefault="00263D00" w:rsidP="00263D00">
            <w:pPr>
              <w:spacing w:before="120" w:after="120" w:line="276" w:lineRule="auto"/>
              <w:textAlignment w:val="top"/>
              <w:rPr>
                <w:rFonts w:asciiTheme="minorHAnsi" w:hAnsiTheme="minorHAnsi"/>
                <w:b/>
                <w:bCs/>
                <w:color w:val="000000" w:themeColor="text1"/>
                <w:kern w:val="36"/>
                <w:sz w:val="22"/>
                <w:szCs w:val="22"/>
              </w:rPr>
            </w:pPr>
            <w:r w:rsidRPr="00263D00">
              <w:rPr>
                <w:rFonts w:asciiTheme="minorHAnsi" w:hAnsiTheme="minorHAnsi"/>
                <w:b/>
                <w:bCs/>
                <w:sz w:val="22"/>
                <w:szCs w:val="22"/>
              </w:rPr>
              <w:t xml:space="preserve">Date : </w:t>
            </w:r>
            <w:r>
              <w:rPr>
                <w:rFonts w:asciiTheme="minorHAnsi" w:hAnsiTheme="minorHAnsi"/>
                <w:b/>
                <w:bCs/>
                <w:sz w:val="22"/>
                <w:szCs w:val="22"/>
              </w:rPr>
              <w:t xml:space="preserve">  </w:t>
            </w:r>
            <w:r w:rsidRPr="00263D00">
              <w:rPr>
                <w:rFonts w:asciiTheme="minorHAnsi" w:hAnsiTheme="minorHAnsi"/>
                <w:b/>
                <w:bCs/>
                <w:sz w:val="22"/>
                <w:szCs w:val="22"/>
              </w:rPr>
              <w:t>June 12,2019</w:t>
            </w:r>
          </w:p>
        </w:tc>
      </w:tr>
    </w:tbl>
    <w:p w:rsidR="00546C64" w:rsidRPr="00263D00" w:rsidRDefault="00902D68" w:rsidP="00263D00">
      <w:pPr>
        <w:pStyle w:val="Heading1"/>
        <w:rPr>
          <w:rFonts w:asciiTheme="minorHAnsi" w:hAnsiTheme="minorHAnsi"/>
          <w:bCs w:val="0"/>
          <w:sz w:val="22"/>
          <w:szCs w:val="22"/>
          <w:lang w:val="en-US"/>
        </w:rPr>
      </w:pPr>
      <w:r w:rsidRPr="008C524F">
        <w:rPr>
          <w:rFonts w:asciiTheme="minorHAnsi" w:hAnsiTheme="minorHAnsi"/>
          <w:sz w:val="22"/>
          <w:szCs w:val="22"/>
        </w:rPr>
        <w:t xml:space="preserve">       </w:t>
      </w:r>
      <w:r w:rsidR="009F35E7" w:rsidRPr="008C524F">
        <w:rPr>
          <w:rFonts w:asciiTheme="minorHAnsi" w:hAnsiTheme="minorHAnsi"/>
          <w:sz w:val="22"/>
          <w:szCs w:val="22"/>
        </w:rPr>
        <w:t xml:space="preserve">             </w:t>
      </w:r>
      <w:r w:rsidR="00777AD4" w:rsidRPr="008C524F">
        <w:rPr>
          <w:rFonts w:asciiTheme="minorHAnsi" w:hAnsiTheme="minorHAnsi"/>
          <w:sz w:val="22"/>
          <w:szCs w:val="22"/>
        </w:rPr>
        <w:tab/>
      </w:r>
      <w:r w:rsidR="00777AD4" w:rsidRPr="008C524F">
        <w:rPr>
          <w:rFonts w:asciiTheme="minorHAnsi" w:hAnsiTheme="minorHAnsi"/>
          <w:sz w:val="22"/>
          <w:szCs w:val="22"/>
        </w:rPr>
        <w:tab/>
      </w:r>
    </w:p>
    <w:p w:rsidR="00263D00" w:rsidRDefault="00263D00" w:rsidP="005674AF">
      <w:pPr>
        <w:pStyle w:val="Default"/>
        <w:jc w:val="both"/>
        <w:rPr>
          <w:b/>
          <w:bCs/>
        </w:rPr>
      </w:pPr>
      <w:r>
        <w:rPr>
          <w:b/>
          <w:bCs/>
        </w:rPr>
        <w:t>To,</w:t>
      </w:r>
    </w:p>
    <w:p w:rsidR="00263D00" w:rsidRPr="003A7944" w:rsidRDefault="00263D00" w:rsidP="005674AF">
      <w:pPr>
        <w:pStyle w:val="Default"/>
        <w:jc w:val="both"/>
        <w:rPr>
          <w:bCs/>
        </w:rPr>
      </w:pPr>
      <w:proofErr w:type="gramStart"/>
      <w:r w:rsidRPr="003A7944">
        <w:rPr>
          <w:bCs/>
        </w:rPr>
        <w:t>All the Trading Members of the Exchange.</w:t>
      </w:r>
      <w:proofErr w:type="gramEnd"/>
    </w:p>
    <w:p w:rsidR="00263D00" w:rsidRPr="00263D00" w:rsidRDefault="00263D00" w:rsidP="005674AF">
      <w:pPr>
        <w:pStyle w:val="Default"/>
        <w:jc w:val="both"/>
        <w:rPr>
          <w:b/>
          <w:bCs/>
        </w:rPr>
      </w:pPr>
    </w:p>
    <w:p w:rsidR="005674AF" w:rsidRPr="00D477A3" w:rsidRDefault="00263D00" w:rsidP="005674AF">
      <w:pPr>
        <w:pStyle w:val="Default"/>
        <w:jc w:val="both"/>
        <w:rPr>
          <w:sz w:val="22"/>
          <w:szCs w:val="22"/>
        </w:rPr>
      </w:pPr>
      <w:r w:rsidRPr="00D477A3">
        <w:rPr>
          <w:b/>
          <w:bCs/>
          <w:sz w:val="22"/>
          <w:szCs w:val="22"/>
        </w:rPr>
        <w:t xml:space="preserve">Subject: </w:t>
      </w:r>
      <w:r w:rsidR="005674AF" w:rsidRPr="00D477A3">
        <w:rPr>
          <w:b/>
          <w:bCs/>
          <w:sz w:val="22"/>
          <w:szCs w:val="22"/>
        </w:rPr>
        <w:t>Applicability of Securities Transaction Tax (‘STT’) under interoperability framework among Clearing Corporations.</w:t>
      </w:r>
    </w:p>
    <w:p w:rsidR="009F35E7" w:rsidRPr="00D477A3" w:rsidRDefault="009F35E7" w:rsidP="00263D00">
      <w:pPr>
        <w:pStyle w:val="Heading1"/>
        <w:rPr>
          <w:rFonts w:asciiTheme="minorHAnsi" w:hAnsiTheme="minorHAnsi"/>
          <w:bCs w:val="0"/>
          <w:sz w:val="22"/>
          <w:szCs w:val="22"/>
          <w:u w:val="single"/>
          <w:lang w:val="en-US"/>
        </w:rPr>
      </w:pPr>
    </w:p>
    <w:p w:rsidR="005674AF" w:rsidRPr="00D477A3" w:rsidRDefault="005674AF" w:rsidP="005674AF">
      <w:pPr>
        <w:pStyle w:val="Default"/>
        <w:jc w:val="both"/>
        <w:rPr>
          <w:sz w:val="22"/>
          <w:szCs w:val="22"/>
        </w:rPr>
      </w:pPr>
      <w:r w:rsidRPr="00D477A3">
        <w:rPr>
          <w:sz w:val="22"/>
          <w:szCs w:val="22"/>
        </w:rPr>
        <w:t>This is with reference to the interoperability among Clearing Corporations (CCs) pursuant to the SEBI Circular No. CIR/MRD/DRMNP/CIR/P/2018/145 dated November 27, 2018.</w:t>
      </w:r>
    </w:p>
    <w:p w:rsidR="005674AF" w:rsidRPr="00D477A3" w:rsidRDefault="005674AF" w:rsidP="005674AF">
      <w:pPr>
        <w:pStyle w:val="Default"/>
        <w:jc w:val="both"/>
        <w:rPr>
          <w:sz w:val="22"/>
          <w:szCs w:val="22"/>
        </w:rPr>
      </w:pPr>
    </w:p>
    <w:p w:rsidR="005674AF" w:rsidRPr="00D477A3" w:rsidRDefault="005674AF" w:rsidP="005674AF">
      <w:pPr>
        <w:pStyle w:val="Default"/>
        <w:jc w:val="both"/>
        <w:rPr>
          <w:sz w:val="22"/>
          <w:szCs w:val="22"/>
        </w:rPr>
      </w:pPr>
      <w:r w:rsidRPr="00D477A3">
        <w:rPr>
          <w:sz w:val="22"/>
          <w:szCs w:val="22"/>
        </w:rPr>
        <w:t>In this regard members have been seeking clarification</w:t>
      </w:r>
      <w:r w:rsidR="00C809B8" w:rsidRPr="00D477A3">
        <w:rPr>
          <w:sz w:val="22"/>
          <w:szCs w:val="22"/>
        </w:rPr>
        <w:t>s</w:t>
      </w:r>
      <w:r w:rsidRPr="00D477A3">
        <w:rPr>
          <w:sz w:val="22"/>
          <w:szCs w:val="22"/>
        </w:rPr>
        <w:t xml:space="preserve"> with respect to the applicability of STT on trades done on the multiple stock exchanges which are settled under interoperability framework including the applicability of STT on trades which are settled otherwise than by actual delivery. </w:t>
      </w:r>
    </w:p>
    <w:p w:rsidR="005674AF" w:rsidRPr="00D477A3" w:rsidRDefault="005674AF" w:rsidP="005674AF">
      <w:pPr>
        <w:pStyle w:val="Default"/>
        <w:jc w:val="both"/>
        <w:rPr>
          <w:sz w:val="22"/>
          <w:szCs w:val="22"/>
        </w:rPr>
      </w:pPr>
    </w:p>
    <w:p w:rsidR="00C809B8" w:rsidRPr="00D477A3" w:rsidRDefault="005674AF" w:rsidP="005674AF">
      <w:pPr>
        <w:pStyle w:val="Default"/>
        <w:jc w:val="both"/>
        <w:rPr>
          <w:sz w:val="22"/>
          <w:szCs w:val="22"/>
        </w:rPr>
      </w:pPr>
      <w:r w:rsidRPr="00D477A3">
        <w:rPr>
          <w:sz w:val="22"/>
          <w:szCs w:val="22"/>
        </w:rPr>
        <w:t xml:space="preserve">In this direction, the Central Board of Direct Taxes (CBDT), inter alia, has issued a clarification </w:t>
      </w:r>
      <w:r w:rsidR="00C809B8" w:rsidRPr="00D477A3">
        <w:rPr>
          <w:sz w:val="22"/>
          <w:szCs w:val="22"/>
        </w:rPr>
        <w:t>as below</w:t>
      </w:r>
    </w:p>
    <w:p w:rsidR="003A7944" w:rsidRPr="00D477A3" w:rsidRDefault="003A7944" w:rsidP="005674AF">
      <w:pPr>
        <w:jc w:val="both"/>
        <w:rPr>
          <w:b/>
          <w:i/>
          <w:iCs/>
          <w:sz w:val="22"/>
          <w:szCs w:val="22"/>
        </w:rPr>
      </w:pPr>
    </w:p>
    <w:p w:rsidR="005674AF" w:rsidRDefault="003A7944" w:rsidP="003A7944">
      <w:pPr>
        <w:tabs>
          <w:tab w:val="left" w:pos="4320"/>
        </w:tabs>
        <w:jc w:val="both"/>
        <w:rPr>
          <w:b/>
          <w:i/>
          <w:iCs/>
          <w:sz w:val="22"/>
          <w:szCs w:val="22"/>
        </w:rPr>
      </w:pPr>
      <w:r w:rsidRPr="00D477A3">
        <w:rPr>
          <w:b/>
          <w:i/>
          <w:iCs/>
          <w:sz w:val="22"/>
          <w:szCs w:val="22"/>
        </w:rPr>
        <w:t>Quote</w:t>
      </w:r>
    </w:p>
    <w:p w:rsidR="00D477A3" w:rsidRPr="00D477A3" w:rsidRDefault="00D477A3" w:rsidP="003A7944">
      <w:pPr>
        <w:tabs>
          <w:tab w:val="left" w:pos="4320"/>
        </w:tabs>
        <w:jc w:val="both"/>
        <w:rPr>
          <w:b/>
          <w:i/>
          <w:iCs/>
          <w:sz w:val="22"/>
          <w:szCs w:val="22"/>
        </w:rPr>
      </w:pPr>
    </w:p>
    <w:p w:rsidR="00C809B8" w:rsidRPr="00D477A3" w:rsidRDefault="005674AF" w:rsidP="005674AF">
      <w:pPr>
        <w:jc w:val="both"/>
        <w:rPr>
          <w:b/>
          <w:i/>
          <w:iCs/>
          <w:sz w:val="22"/>
          <w:szCs w:val="22"/>
        </w:rPr>
      </w:pPr>
      <w:r w:rsidRPr="00D477A3">
        <w:rPr>
          <w:i/>
          <w:iCs/>
          <w:sz w:val="22"/>
          <w:szCs w:val="22"/>
        </w:rPr>
        <w:t>Under the provisions of STT, it is not material to the charge and levy of STT as to whether the settlement of trade takes place within the same stock exchange / clearing corporation or across multiple stock exchanges / clearing corporations. Accordingly, interoperability of clearing corporations shall have no impact on the incidence of STT on securities and STT at a lower rate shall continue to apply for trades / transactions settled otherwise than by delivery of shares even under the interoperable framework.</w:t>
      </w:r>
    </w:p>
    <w:p w:rsidR="00D477A3" w:rsidRDefault="00D477A3" w:rsidP="005674AF">
      <w:pPr>
        <w:jc w:val="both"/>
        <w:rPr>
          <w:b/>
          <w:i/>
          <w:iCs/>
          <w:sz w:val="22"/>
          <w:szCs w:val="22"/>
        </w:rPr>
      </w:pPr>
    </w:p>
    <w:p w:rsidR="005674AF" w:rsidRPr="00D477A3" w:rsidRDefault="005674AF" w:rsidP="005674AF">
      <w:pPr>
        <w:jc w:val="both"/>
        <w:rPr>
          <w:b/>
          <w:i/>
          <w:iCs/>
          <w:sz w:val="22"/>
          <w:szCs w:val="22"/>
        </w:rPr>
      </w:pPr>
      <w:r w:rsidRPr="00D477A3">
        <w:rPr>
          <w:b/>
          <w:i/>
          <w:iCs/>
          <w:sz w:val="22"/>
          <w:szCs w:val="22"/>
        </w:rPr>
        <w:t>Unquote</w:t>
      </w:r>
    </w:p>
    <w:p w:rsidR="00D477A3" w:rsidRDefault="00D477A3" w:rsidP="005674AF">
      <w:pPr>
        <w:pStyle w:val="Default"/>
        <w:jc w:val="both"/>
        <w:rPr>
          <w:sz w:val="22"/>
          <w:szCs w:val="22"/>
        </w:rPr>
      </w:pPr>
    </w:p>
    <w:p w:rsidR="005674AF" w:rsidRPr="00D477A3" w:rsidRDefault="005674AF" w:rsidP="005674AF">
      <w:pPr>
        <w:pStyle w:val="Default"/>
        <w:jc w:val="both"/>
        <w:rPr>
          <w:sz w:val="22"/>
          <w:szCs w:val="22"/>
        </w:rPr>
      </w:pPr>
      <w:bookmarkStart w:id="0" w:name="_GoBack"/>
      <w:bookmarkEnd w:id="0"/>
      <w:r w:rsidRPr="00D477A3">
        <w:rPr>
          <w:sz w:val="22"/>
          <w:szCs w:val="22"/>
        </w:rPr>
        <w:t>In view of the above, the trading members may kindly note that the STT on trades done on the multiple stock exchanges which are settled under interoperability framework  shall continue to be levied, as at present, as per the provision</w:t>
      </w:r>
      <w:r w:rsidR="00C809B8" w:rsidRPr="00D477A3">
        <w:rPr>
          <w:sz w:val="22"/>
          <w:szCs w:val="22"/>
        </w:rPr>
        <w:t>s</w:t>
      </w:r>
      <w:r w:rsidRPr="00D477A3">
        <w:rPr>
          <w:sz w:val="22"/>
          <w:szCs w:val="22"/>
        </w:rPr>
        <w:t xml:space="preserve"> of  section 98 of the Finance (No. 2) Act, 2004.</w:t>
      </w:r>
    </w:p>
    <w:p w:rsidR="005674AF" w:rsidRPr="00D477A3" w:rsidRDefault="005674AF" w:rsidP="005674AF">
      <w:pPr>
        <w:pStyle w:val="Default"/>
        <w:jc w:val="both"/>
        <w:rPr>
          <w:sz w:val="22"/>
          <w:szCs w:val="22"/>
        </w:rPr>
      </w:pPr>
    </w:p>
    <w:p w:rsidR="005674AF" w:rsidRPr="00D477A3" w:rsidRDefault="005674AF" w:rsidP="005674AF">
      <w:pPr>
        <w:pStyle w:val="Default"/>
        <w:jc w:val="both"/>
        <w:rPr>
          <w:sz w:val="22"/>
          <w:szCs w:val="22"/>
        </w:rPr>
      </w:pPr>
      <w:r w:rsidRPr="00D477A3">
        <w:rPr>
          <w:sz w:val="22"/>
          <w:szCs w:val="22"/>
        </w:rPr>
        <w:t>Further, the STT on trades done on the multiple stock exchanges which are settled under interoperability framework and are settled otherwise than by actual delivery shall be levied  as per section 98 of the Finance (No. 2) Act, 2004</w:t>
      </w:r>
      <w:r w:rsidR="00C809B8" w:rsidRPr="00D477A3">
        <w:rPr>
          <w:sz w:val="22"/>
          <w:szCs w:val="22"/>
        </w:rPr>
        <w:t>.</w:t>
      </w:r>
      <w:r w:rsidRPr="00D477A3">
        <w:rPr>
          <w:sz w:val="22"/>
          <w:szCs w:val="22"/>
        </w:rPr>
        <w:t>(Sr. No.3 of the TABLE). (</w:t>
      </w:r>
      <w:proofErr w:type="gramStart"/>
      <w:r w:rsidRPr="00D477A3">
        <w:rPr>
          <w:sz w:val="22"/>
          <w:szCs w:val="22"/>
        </w:rPr>
        <w:t>i.e</w:t>
      </w:r>
      <w:proofErr w:type="gramEnd"/>
      <w:r w:rsidRPr="00D477A3">
        <w:rPr>
          <w:sz w:val="22"/>
          <w:szCs w:val="22"/>
        </w:rPr>
        <w:t xml:space="preserve">. at the rate of 0.025 per cent by the Seller). </w:t>
      </w:r>
    </w:p>
    <w:p w:rsidR="005674AF" w:rsidRPr="00D477A3" w:rsidRDefault="005674AF" w:rsidP="005674AF">
      <w:pPr>
        <w:pStyle w:val="Default"/>
        <w:jc w:val="both"/>
        <w:rPr>
          <w:sz w:val="22"/>
          <w:szCs w:val="22"/>
        </w:rPr>
      </w:pPr>
    </w:p>
    <w:p w:rsidR="005674AF" w:rsidRPr="00D477A3" w:rsidRDefault="005674AF" w:rsidP="005674AF">
      <w:pPr>
        <w:pStyle w:val="Default"/>
        <w:jc w:val="both"/>
        <w:rPr>
          <w:sz w:val="22"/>
          <w:szCs w:val="22"/>
        </w:rPr>
      </w:pPr>
      <w:r w:rsidRPr="00D477A3">
        <w:rPr>
          <w:sz w:val="22"/>
          <w:szCs w:val="22"/>
        </w:rPr>
        <w:t>This is for the information and due compliance by the trading members and also for onward transmission to the constituents.</w:t>
      </w:r>
    </w:p>
    <w:p w:rsidR="005674AF" w:rsidRPr="00D477A3" w:rsidRDefault="005674AF" w:rsidP="005674AF">
      <w:pPr>
        <w:pStyle w:val="Default"/>
        <w:jc w:val="both"/>
        <w:rPr>
          <w:sz w:val="22"/>
          <w:szCs w:val="22"/>
        </w:rPr>
      </w:pPr>
    </w:p>
    <w:p w:rsidR="005674AF" w:rsidRPr="00D477A3" w:rsidRDefault="00D477A3" w:rsidP="00D477A3">
      <w:pPr>
        <w:pStyle w:val="Default"/>
        <w:rPr>
          <w:rFonts w:ascii="Calibri" w:hAnsi="Calibri" w:cs="Calibri"/>
          <w:sz w:val="22"/>
          <w:szCs w:val="22"/>
          <w:lang w:val="en-US"/>
        </w:rPr>
      </w:pPr>
      <w:proofErr w:type="gramStart"/>
      <w:r w:rsidRPr="00D477A3">
        <w:rPr>
          <w:sz w:val="22"/>
          <w:szCs w:val="22"/>
        </w:rPr>
        <w:t xml:space="preserve">For </w:t>
      </w:r>
      <w:r w:rsidR="003A7944" w:rsidRPr="00D477A3">
        <w:rPr>
          <w:sz w:val="22"/>
          <w:szCs w:val="22"/>
        </w:rPr>
        <w:t xml:space="preserve"> any</w:t>
      </w:r>
      <w:proofErr w:type="gramEnd"/>
      <w:r w:rsidR="005674AF" w:rsidRPr="00D477A3">
        <w:rPr>
          <w:sz w:val="22"/>
          <w:szCs w:val="22"/>
        </w:rPr>
        <w:t xml:space="preserve"> clarifications, </w:t>
      </w:r>
      <w:r w:rsidR="002548E7" w:rsidRPr="00D477A3">
        <w:rPr>
          <w:sz w:val="22"/>
          <w:szCs w:val="22"/>
        </w:rPr>
        <w:t>contac</w:t>
      </w:r>
      <w:r w:rsidR="005674AF" w:rsidRPr="00D477A3">
        <w:rPr>
          <w:sz w:val="22"/>
          <w:szCs w:val="22"/>
        </w:rPr>
        <w:t>t</w:t>
      </w:r>
      <w:r w:rsidR="002548E7" w:rsidRPr="00D477A3">
        <w:rPr>
          <w:sz w:val="22"/>
          <w:szCs w:val="22"/>
        </w:rPr>
        <w:t xml:space="preserve"> customer service on 022-61129010 or send email to </w:t>
      </w:r>
      <w:hyperlink r:id="rId11" w:history="1">
        <w:r w:rsidRPr="00D477A3">
          <w:rPr>
            <w:rStyle w:val="Hyperlink"/>
            <w:rFonts w:ascii="Calibri" w:hAnsi="Calibri" w:cs="Calibri"/>
            <w:sz w:val="22"/>
            <w:szCs w:val="22"/>
            <w:lang w:val="en-US"/>
          </w:rPr>
          <w:t>customerservice@msei.in</w:t>
        </w:r>
      </w:hyperlink>
      <w:r w:rsidR="002548E7" w:rsidRPr="00D477A3">
        <w:rPr>
          <w:rFonts w:ascii="Calibri" w:hAnsi="Calibri" w:cs="Calibri"/>
          <w:sz w:val="22"/>
          <w:szCs w:val="22"/>
          <w:lang w:val="en-US"/>
        </w:rPr>
        <w:t>.</w:t>
      </w:r>
    </w:p>
    <w:p w:rsidR="00D477A3" w:rsidRDefault="00D477A3" w:rsidP="005674AF">
      <w:pPr>
        <w:pStyle w:val="Default"/>
        <w:jc w:val="both"/>
      </w:pPr>
    </w:p>
    <w:p w:rsidR="005674AF" w:rsidRPr="00263D00" w:rsidRDefault="005674AF" w:rsidP="005674AF">
      <w:pPr>
        <w:pStyle w:val="Default"/>
        <w:jc w:val="both"/>
        <w:rPr>
          <w:b/>
          <w:bCs/>
        </w:rPr>
      </w:pPr>
      <w:r w:rsidRPr="00263D00">
        <w:t xml:space="preserve"> </w:t>
      </w:r>
      <w:r w:rsidRPr="00263D00">
        <w:rPr>
          <w:b/>
          <w:bCs/>
        </w:rPr>
        <w:t xml:space="preserve">For and on behalf of </w:t>
      </w:r>
    </w:p>
    <w:p w:rsidR="005674AF" w:rsidRPr="00263D00" w:rsidRDefault="005674AF" w:rsidP="005674AF">
      <w:pPr>
        <w:pStyle w:val="Default"/>
        <w:jc w:val="both"/>
      </w:pPr>
    </w:p>
    <w:p w:rsidR="005674AF" w:rsidRPr="00263D00" w:rsidRDefault="005674AF" w:rsidP="005674AF">
      <w:pPr>
        <w:pStyle w:val="Default"/>
        <w:jc w:val="both"/>
      </w:pPr>
      <w:r w:rsidRPr="00263D00">
        <w:rPr>
          <w:b/>
          <w:bCs/>
        </w:rPr>
        <w:t xml:space="preserve">Metropolitan Stock Exchange of India Limited </w:t>
      </w:r>
    </w:p>
    <w:p w:rsidR="005674AF" w:rsidRDefault="005674AF" w:rsidP="005674AF">
      <w:pPr>
        <w:pStyle w:val="Default"/>
        <w:jc w:val="both"/>
        <w:rPr>
          <w:b/>
          <w:bCs/>
        </w:rPr>
      </w:pPr>
    </w:p>
    <w:p w:rsidR="002F5F78" w:rsidRPr="00263D00" w:rsidRDefault="002F5F78" w:rsidP="005674AF">
      <w:pPr>
        <w:pStyle w:val="Default"/>
        <w:jc w:val="both"/>
        <w:rPr>
          <w:b/>
          <w:bCs/>
        </w:rPr>
      </w:pPr>
    </w:p>
    <w:p w:rsidR="005674AF" w:rsidRPr="00263D00" w:rsidRDefault="005674AF" w:rsidP="005674AF">
      <w:pPr>
        <w:pStyle w:val="Default"/>
        <w:jc w:val="both"/>
      </w:pPr>
      <w:r w:rsidRPr="00263D00">
        <w:rPr>
          <w:b/>
          <w:bCs/>
        </w:rPr>
        <w:t xml:space="preserve">Kunal </w:t>
      </w:r>
      <w:proofErr w:type="spellStart"/>
      <w:r w:rsidRPr="00263D00">
        <w:rPr>
          <w:b/>
          <w:bCs/>
        </w:rPr>
        <w:t>Sanghavi</w:t>
      </w:r>
      <w:proofErr w:type="spellEnd"/>
      <w:r w:rsidRPr="00263D00">
        <w:rPr>
          <w:b/>
          <w:bCs/>
        </w:rPr>
        <w:t xml:space="preserve"> </w:t>
      </w:r>
    </w:p>
    <w:p w:rsidR="005674AF" w:rsidRPr="00263D00" w:rsidRDefault="005674AF" w:rsidP="005674AF">
      <w:pPr>
        <w:jc w:val="both"/>
      </w:pPr>
      <w:r w:rsidRPr="00263D00">
        <w:rPr>
          <w:b/>
          <w:bCs/>
        </w:rPr>
        <w:t>Chief Financial Officer</w:t>
      </w:r>
    </w:p>
    <w:p w:rsidR="005674AF" w:rsidRPr="00263D00" w:rsidRDefault="005674AF" w:rsidP="00570B9A">
      <w:pPr>
        <w:pStyle w:val="Default"/>
        <w:rPr>
          <w:rFonts w:asciiTheme="minorHAnsi" w:hAnsiTheme="minorHAnsi"/>
        </w:rPr>
      </w:pPr>
    </w:p>
    <w:sectPr w:rsidR="005674AF" w:rsidRPr="00263D00" w:rsidSect="00D477A3">
      <w:footerReference w:type="default" r:id="rId12"/>
      <w:headerReference w:type="first" r:id="rId13"/>
      <w:footerReference w:type="first" r:id="rId14"/>
      <w:pgSz w:w="11909" w:h="16834" w:code="9"/>
      <w:pgMar w:top="288" w:right="1440" w:bottom="432" w:left="576" w:header="504" w:footer="4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DF1" w:rsidRDefault="00D15DF1">
      <w:r>
        <w:separator/>
      </w:r>
    </w:p>
  </w:endnote>
  <w:endnote w:type="continuationSeparator" w:id="0">
    <w:p w:rsidR="00D15DF1" w:rsidRDefault="00D1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81787"/>
      <w:docPartObj>
        <w:docPartGallery w:val="Page Numbers (Bottom of Page)"/>
        <w:docPartUnique/>
      </w:docPartObj>
    </w:sdtPr>
    <w:sdtEndPr>
      <w:rPr>
        <w:noProof/>
      </w:rPr>
    </w:sdtEndPr>
    <w:sdtContent>
      <w:p w:rsidR="0062101A" w:rsidRDefault="0062101A">
        <w:pPr>
          <w:pStyle w:val="Footer"/>
          <w:jc w:val="right"/>
        </w:pPr>
        <w:r>
          <w:fldChar w:fldCharType="begin"/>
        </w:r>
        <w:r>
          <w:instrText xml:space="preserve"> PAGE   \* MERGEFORMAT </w:instrText>
        </w:r>
        <w:r>
          <w:fldChar w:fldCharType="separate"/>
        </w:r>
        <w:r w:rsidR="00D477A3">
          <w:rPr>
            <w:noProof/>
          </w:rPr>
          <w:t>2</w:t>
        </w:r>
        <w:r>
          <w:rPr>
            <w:noProof/>
          </w:rPr>
          <w:fldChar w:fldCharType="end"/>
        </w:r>
      </w:p>
    </w:sdtContent>
  </w:sdt>
  <w:p w:rsidR="0062101A" w:rsidRDefault="0062101A" w:rsidP="0062101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265" w:rsidRPr="00BB762F" w:rsidRDefault="00302265" w:rsidP="00302265">
    <w:pPr>
      <w:pStyle w:val="Footer"/>
      <w:jc w:val="center"/>
      <w:rPr>
        <w:rFonts w:asciiTheme="minorHAnsi" w:hAnsiTheme="minorHAnsi"/>
        <w:sz w:val="16"/>
        <w:szCs w:val="16"/>
      </w:rPr>
    </w:pPr>
    <w:r w:rsidRPr="00BB762F">
      <w:rPr>
        <w:rFonts w:asciiTheme="minorHAnsi" w:hAnsiTheme="minorHAnsi"/>
        <w:sz w:val="16"/>
        <w:szCs w:val="16"/>
      </w:rPr>
      <w:t>Reg</w:t>
    </w:r>
    <w:r w:rsidR="004F556B" w:rsidRPr="00BB762F">
      <w:rPr>
        <w:rFonts w:asciiTheme="minorHAnsi" w:hAnsiTheme="minorHAnsi"/>
        <w:sz w:val="16"/>
        <w:szCs w:val="16"/>
      </w:rPr>
      <w:t>istered</w:t>
    </w:r>
    <w:r w:rsidRPr="00BB762F">
      <w:rPr>
        <w:rFonts w:asciiTheme="minorHAnsi" w:hAnsiTheme="minorHAnsi"/>
        <w:sz w:val="16"/>
        <w:szCs w:val="16"/>
      </w:rPr>
      <w:t xml:space="preserve"> </w:t>
    </w:r>
    <w:r w:rsidR="006B2613" w:rsidRPr="00BB762F">
      <w:rPr>
        <w:rFonts w:asciiTheme="minorHAnsi" w:hAnsiTheme="minorHAnsi"/>
        <w:sz w:val="16"/>
        <w:szCs w:val="16"/>
      </w:rPr>
      <w:t>Office:</w:t>
    </w:r>
    <w:r w:rsidRPr="00BB762F">
      <w:rPr>
        <w:rFonts w:asciiTheme="minorHAnsi" w:hAnsiTheme="minorHAnsi"/>
        <w:sz w:val="16"/>
        <w:szCs w:val="16"/>
      </w:rPr>
      <w:t xml:space="preserve"> 4</w:t>
    </w:r>
    <w:r w:rsidRPr="00BB762F">
      <w:rPr>
        <w:rFonts w:asciiTheme="minorHAnsi" w:hAnsiTheme="minorHAnsi"/>
        <w:sz w:val="16"/>
        <w:szCs w:val="16"/>
        <w:vertAlign w:val="superscript"/>
      </w:rPr>
      <w:t>th</w:t>
    </w:r>
    <w:r w:rsidRPr="00BB762F">
      <w:rPr>
        <w:rFonts w:asciiTheme="minorHAnsi" w:hAnsiTheme="minorHAnsi"/>
        <w:sz w:val="16"/>
        <w:szCs w:val="16"/>
      </w:rPr>
      <w:t xml:space="preserve"> Floor, </w:t>
    </w:r>
    <w:proofErr w:type="spellStart"/>
    <w:r w:rsidRPr="00BB762F">
      <w:rPr>
        <w:rFonts w:asciiTheme="minorHAnsi" w:hAnsiTheme="minorHAnsi"/>
        <w:sz w:val="16"/>
        <w:szCs w:val="16"/>
      </w:rPr>
      <w:t>Vibgyor</w:t>
    </w:r>
    <w:proofErr w:type="spellEnd"/>
    <w:r w:rsidRPr="00BB762F">
      <w:rPr>
        <w:rFonts w:asciiTheme="minorHAnsi" w:hAnsiTheme="minorHAnsi"/>
        <w:sz w:val="16"/>
        <w:szCs w:val="16"/>
      </w:rPr>
      <w:t xml:space="preserve"> Tower, Plot No. C-62, </w:t>
    </w:r>
    <w:r w:rsidR="004F556B" w:rsidRPr="00BB762F">
      <w:rPr>
        <w:rFonts w:asciiTheme="minorHAnsi" w:hAnsiTheme="minorHAnsi"/>
        <w:sz w:val="16"/>
        <w:szCs w:val="16"/>
      </w:rPr>
      <w:t xml:space="preserve">G Block, </w:t>
    </w:r>
    <w:proofErr w:type="spellStart"/>
    <w:r w:rsidRPr="00BB762F">
      <w:rPr>
        <w:rFonts w:asciiTheme="minorHAnsi" w:hAnsiTheme="minorHAnsi"/>
        <w:sz w:val="16"/>
        <w:szCs w:val="16"/>
      </w:rPr>
      <w:t>Opp</w:t>
    </w:r>
    <w:proofErr w:type="spellEnd"/>
    <w:r w:rsidRPr="00BB762F">
      <w:rPr>
        <w:rFonts w:asciiTheme="minorHAnsi" w:hAnsiTheme="minorHAnsi"/>
        <w:sz w:val="16"/>
        <w:szCs w:val="16"/>
      </w:rPr>
      <w:t xml:space="preserve"> Trident Hotel, </w:t>
    </w:r>
    <w:proofErr w:type="spellStart"/>
    <w:r w:rsidRPr="00BB762F">
      <w:rPr>
        <w:rFonts w:asciiTheme="minorHAnsi" w:hAnsiTheme="minorHAnsi"/>
        <w:sz w:val="16"/>
        <w:szCs w:val="16"/>
      </w:rPr>
      <w:t>Bandra</w:t>
    </w:r>
    <w:proofErr w:type="spellEnd"/>
    <w:r w:rsidRPr="00BB762F">
      <w:rPr>
        <w:rFonts w:asciiTheme="minorHAnsi" w:hAnsiTheme="minorHAnsi"/>
        <w:sz w:val="16"/>
        <w:szCs w:val="16"/>
      </w:rPr>
      <w:t xml:space="preserve"> </w:t>
    </w:r>
    <w:proofErr w:type="spellStart"/>
    <w:r w:rsidRPr="00BB762F">
      <w:rPr>
        <w:rFonts w:asciiTheme="minorHAnsi" w:hAnsiTheme="minorHAnsi"/>
        <w:sz w:val="16"/>
        <w:szCs w:val="16"/>
      </w:rPr>
      <w:t>Kurla</w:t>
    </w:r>
    <w:proofErr w:type="spellEnd"/>
    <w:r w:rsidRPr="00BB762F">
      <w:rPr>
        <w:rFonts w:asciiTheme="minorHAnsi" w:hAnsiTheme="minorHAnsi"/>
        <w:sz w:val="16"/>
        <w:szCs w:val="16"/>
      </w:rPr>
      <w:t xml:space="preserve"> Comp</w:t>
    </w:r>
    <w:r w:rsidR="004F556B" w:rsidRPr="00BB762F">
      <w:rPr>
        <w:rFonts w:asciiTheme="minorHAnsi" w:hAnsiTheme="minorHAnsi"/>
        <w:sz w:val="16"/>
        <w:szCs w:val="16"/>
      </w:rPr>
      <w:t xml:space="preserve">lex, </w:t>
    </w:r>
    <w:proofErr w:type="spellStart"/>
    <w:r w:rsidR="004F556B" w:rsidRPr="00BB762F">
      <w:rPr>
        <w:rFonts w:asciiTheme="minorHAnsi" w:hAnsiTheme="minorHAnsi"/>
        <w:sz w:val="16"/>
        <w:szCs w:val="16"/>
      </w:rPr>
      <w:t>Bandra</w:t>
    </w:r>
    <w:proofErr w:type="spellEnd"/>
    <w:r w:rsidR="004F556B" w:rsidRPr="00BB762F">
      <w:rPr>
        <w:rFonts w:asciiTheme="minorHAnsi" w:hAnsiTheme="minorHAnsi"/>
        <w:sz w:val="16"/>
        <w:szCs w:val="16"/>
      </w:rPr>
      <w:t xml:space="preserve"> East, Mumbai 400098</w:t>
    </w:r>
  </w:p>
  <w:p w:rsidR="00546C64" w:rsidRPr="00BB762F" w:rsidRDefault="004F556B" w:rsidP="00302265">
    <w:pPr>
      <w:pStyle w:val="Footer"/>
      <w:jc w:val="center"/>
      <w:rPr>
        <w:rFonts w:asciiTheme="minorHAnsi" w:hAnsiTheme="minorHAnsi"/>
        <w:sz w:val="16"/>
        <w:szCs w:val="16"/>
      </w:rPr>
    </w:pPr>
    <w:r w:rsidRPr="00BB762F">
      <w:rPr>
        <w:rFonts w:asciiTheme="minorHAnsi" w:hAnsiTheme="minorHAnsi"/>
        <w:sz w:val="16"/>
        <w:szCs w:val="16"/>
      </w:rPr>
      <w:t xml:space="preserve">Tel.: +91-22-6112 9000 • </w:t>
    </w:r>
    <w:hyperlink r:id="rId1" w:history="1">
      <w:r w:rsidRPr="00BB762F">
        <w:rPr>
          <w:rStyle w:val="Hyperlink"/>
          <w:rFonts w:asciiTheme="minorHAnsi" w:hAnsiTheme="minorHAnsi"/>
          <w:sz w:val="16"/>
          <w:szCs w:val="16"/>
        </w:rPr>
        <w:t>customerservice@msei.in</w:t>
      </w:r>
    </w:hyperlink>
    <w:r w:rsidRPr="00BB762F">
      <w:rPr>
        <w:rFonts w:asciiTheme="minorHAnsi" w:hAnsiTheme="minorHAnsi"/>
        <w:sz w:val="16"/>
        <w:szCs w:val="16"/>
      </w:rPr>
      <w:t xml:space="preserve"> • </w:t>
    </w:r>
    <w:hyperlink r:id="rId2" w:history="1">
      <w:r w:rsidRPr="00BB762F">
        <w:rPr>
          <w:rStyle w:val="Hyperlink"/>
          <w:rFonts w:asciiTheme="minorHAnsi" w:hAnsiTheme="minorHAnsi"/>
          <w:sz w:val="16"/>
          <w:szCs w:val="16"/>
        </w:rPr>
        <w:t>www.msei.in</w:t>
      </w:r>
    </w:hyperlink>
    <w:r w:rsidRPr="00BB762F">
      <w:rPr>
        <w:rFonts w:asciiTheme="minorHAnsi" w:hAnsiTheme="minorHAnsi"/>
        <w:sz w:val="16"/>
        <w:szCs w:val="16"/>
      </w:rPr>
      <w:t xml:space="preserve"> • </w:t>
    </w:r>
    <w:r w:rsidR="00302265" w:rsidRPr="00BB762F">
      <w:rPr>
        <w:rFonts w:asciiTheme="minorHAnsi" w:hAnsiTheme="minorHAnsi"/>
        <w:sz w:val="16"/>
        <w:szCs w:val="16"/>
      </w:rPr>
      <w:t>CIN: U659</w:t>
    </w:r>
    <w:r w:rsidR="00534DED" w:rsidRPr="00BB762F">
      <w:rPr>
        <w:rFonts w:asciiTheme="minorHAnsi" w:hAnsiTheme="minorHAnsi"/>
        <w:sz w:val="16"/>
        <w:szCs w:val="16"/>
      </w:rPr>
      <w:t>9</w:t>
    </w:r>
    <w:r w:rsidR="00302265" w:rsidRPr="00BB762F">
      <w:rPr>
        <w:rFonts w:asciiTheme="minorHAnsi" w:hAnsiTheme="minorHAnsi"/>
        <w:sz w:val="16"/>
        <w:szCs w:val="16"/>
      </w:rPr>
      <w:t>9MH2008PLC185856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DF1" w:rsidRDefault="00D15DF1">
      <w:r>
        <w:separator/>
      </w:r>
    </w:p>
  </w:footnote>
  <w:footnote w:type="continuationSeparator" w:id="0">
    <w:p w:rsidR="00D15DF1" w:rsidRDefault="00D15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64" w:rsidRDefault="00730A23" w:rsidP="004F556B">
    <w:pPr>
      <w:pStyle w:val="Header"/>
      <w:jc w:val="center"/>
    </w:pPr>
    <w:r>
      <w:rPr>
        <w:noProof/>
      </w:rPr>
      <w:drawing>
        <wp:inline distT="0" distB="0" distL="0" distR="0" wp14:anchorId="000A653A" wp14:editId="29DA0EF4">
          <wp:extent cx="4191989" cy="8577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E Circular Template Logo.jpg"/>
                  <pic:cNvPicPr/>
                </pic:nvPicPr>
                <pic:blipFill>
                  <a:blip r:embed="rId1">
                    <a:extLst>
                      <a:ext uri="{28A0092B-C50C-407E-A947-70E740481C1C}">
                        <a14:useLocalDpi xmlns:a14="http://schemas.microsoft.com/office/drawing/2010/main" val="0"/>
                      </a:ext>
                    </a:extLst>
                  </a:blip>
                  <a:stretch>
                    <a:fillRect/>
                  </a:stretch>
                </pic:blipFill>
                <pic:spPr>
                  <a:xfrm>
                    <a:off x="0" y="0"/>
                    <a:ext cx="4192243" cy="857779"/>
                  </a:xfrm>
                  <a:prstGeom prst="rect">
                    <a:avLst/>
                  </a:prstGeom>
                </pic:spPr>
              </pic:pic>
            </a:graphicData>
          </a:graphic>
        </wp:inline>
      </w:drawing>
    </w:r>
  </w:p>
  <w:p w:rsidR="00020BBB" w:rsidRDefault="00020BBB" w:rsidP="004F556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7CB"/>
    <w:multiLevelType w:val="hybridMultilevel"/>
    <w:tmpl w:val="B51A3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F21F9"/>
    <w:multiLevelType w:val="hybridMultilevel"/>
    <w:tmpl w:val="23FCE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7A4E53"/>
    <w:multiLevelType w:val="hybridMultilevel"/>
    <w:tmpl w:val="32C410FC"/>
    <w:lvl w:ilvl="0" w:tplc="8F7288A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752A25"/>
    <w:multiLevelType w:val="hybridMultilevel"/>
    <w:tmpl w:val="29588EDA"/>
    <w:lvl w:ilvl="0" w:tplc="8F728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A5825"/>
    <w:multiLevelType w:val="hybridMultilevel"/>
    <w:tmpl w:val="975C45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46B13"/>
    <w:multiLevelType w:val="hybridMultilevel"/>
    <w:tmpl w:val="6C80D556"/>
    <w:lvl w:ilvl="0" w:tplc="F5A0C0C4">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647CF"/>
    <w:multiLevelType w:val="hybridMultilevel"/>
    <w:tmpl w:val="3C54E5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542360E"/>
    <w:multiLevelType w:val="hybridMultilevel"/>
    <w:tmpl w:val="6C80D556"/>
    <w:lvl w:ilvl="0" w:tplc="F5A0C0C4">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DF0276"/>
    <w:multiLevelType w:val="hybridMultilevel"/>
    <w:tmpl w:val="20305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17C67AE"/>
    <w:multiLevelType w:val="hybridMultilevel"/>
    <w:tmpl w:val="2F6EF926"/>
    <w:lvl w:ilvl="0" w:tplc="408EDD2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9573E0C"/>
    <w:multiLevelType w:val="hybridMultilevel"/>
    <w:tmpl w:val="187A7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BCD2F09"/>
    <w:multiLevelType w:val="hybridMultilevel"/>
    <w:tmpl w:val="4F82906E"/>
    <w:lvl w:ilvl="0" w:tplc="BC62AE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
  </w:num>
  <w:num w:numId="5">
    <w:abstractNumId w:val="9"/>
  </w:num>
  <w:num w:numId="6">
    <w:abstractNumId w:val="5"/>
  </w:num>
  <w:num w:numId="7">
    <w:abstractNumId w:val="4"/>
  </w:num>
  <w:num w:numId="8">
    <w:abstractNumId w:val="1"/>
  </w:num>
  <w:num w:numId="9">
    <w:abstractNumId w:val="10"/>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36"/>
    <w:rsid w:val="00007B86"/>
    <w:rsid w:val="00020BBB"/>
    <w:rsid w:val="00065DD9"/>
    <w:rsid w:val="00095009"/>
    <w:rsid w:val="000A7235"/>
    <w:rsid w:val="000B0053"/>
    <w:rsid w:val="00150DF7"/>
    <w:rsid w:val="00165B24"/>
    <w:rsid w:val="00171359"/>
    <w:rsid w:val="001E15B8"/>
    <w:rsid w:val="001F3DF1"/>
    <w:rsid w:val="001F44F3"/>
    <w:rsid w:val="0020738C"/>
    <w:rsid w:val="00223535"/>
    <w:rsid w:val="00223AC5"/>
    <w:rsid w:val="002548E7"/>
    <w:rsid w:val="002602EF"/>
    <w:rsid w:val="002607B7"/>
    <w:rsid w:val="00263D00"/>
    <w:rsid w:val="00274558"/>
    <w:rsid w:val="002B7564"/>
    <w:rsid w:val="002C38C5"/>
    <w:rsid w:val="002F5F78"/>
    <w:rsid w:val="00302265"/>
    <w:rsid w:val="003036E0"/>
    <w:rsid w:val="00324469"/>
    <w:rsid w:val="00336D9A"/>
    <w:rsid w:val="00336FA3"/>
    <w:rsid w:val="00342C02"/>
    <w:rsid w:val="00387DFF"/>
    <w:rsid w:val="003A7944"/>
    <w:rsid w:val="003E1C90"/>
    <w:rsid w:val="003E31B7"/>
    <w:rsid w:val="003E565B"/>
    <w:rsid w:val="003E5A2E"/>
    <w:rsid w:val="0042262E"/>
    <w:rsid w:val="004344A5"/>
    <w:rsid w:val="00446AE5"/>
    <w:rsid w:val="00462E0C"/>
    <w:rsid w:val="00487AB8"/>
    <w:rsid w:val="004A59B1"/>
    <w:rsid w:val="004B0920"/>
    <w:rsid w:val="004F556B"/>
    <w:rsid w:val="005074A8"/>
    <w:rsid w:val="00534DED"/>
    <w:rsid w:val="00541D68"/>
    <w:rsid w:val="00546C64"/>
    <w:rsid w:val="005674AF"/>
    <w:rsid w:val="00567991"/>
    <w:rsid w:val="00570B9A"/>
    <w:rsid w:val="00584508"/>
    <w:rsid w:val="00593E98"/>
    <w:rsid w:val="00596E04"/>
    <w:rsid w:val="005B2AC6"/>
    <w:rsid w:val="005C6D20"/>
    <w:rsid w:val="005E2B4B"/>
    <w:rsid w:val="00603321"/>
    <w:rsid w:val="0062101A"/>
    <w:rsid w:val="0066663A"/>
    <w:rsid w:val="006769AF"/>
    <w:rsid w:val="006A38DC"/>
    <w:rsid w:val="006B2613"/>
    <w:rsid w:val="006D317B"/>
    <w:rsid w:val="007152F7"/>
    <w:rsid w:val="007175F7"/>
    <w:rsid w:val="00721B59"/>
    <w:rsid w:val="007256BC"/>
    <w:rsid w:val="00730A23"/>
    <w:rsid w:val="007510E5"/>
    <w:rsid w:val="00777AD4"/>
    <w:rsid w:val="00785764"/>
    <w:rsid w:val="007A0EC4"/>
    <w:rsid w:val="007F7F0C"/>
    <w:rsid w:val="00802C4A"/>
    <w:rsid w:val="008146D1"/>
    <w:rsid w:val="00815DD7"/>
    <w:rsid w:val="00822068"/>
    <w:rsid w:val="008313F0"/>
    <w:rsid w:val="008401FE"/>
    <w:rsid w:val="00850643"/>
    <w:rsid w:val="00852F94"/>
    <w:rsid w:val="0086415A"/>
    <w:rsid w:val="008A044E"/>
    <w:rsid w:val="008A3281"/>
    <w:rsid w:val="008B0565"/>
    <w:rsid w:val="008C524F"/>
    <w:rsid w:val="008E33B7"/>
    <w:rsid w:val="008F3F6E"/>
    <w:rsid w:val="00900F70"/>
    <w:rsid w:val="00902D68"/>
    <w:rsid w:val="0090690C"/>
    <w:rsid w:val="00914DFA"/>
    <w:rsid w:val="00920A0D"/>
    <w:rsid w:val="00942ABD"/>
    <w:rsid w:val="009434D7"/>
    <w:rsid w:val="00961C96"/>
    <w:rsid w:val="0097776D"/>
    <w:rsid w:val="009F35E7"/>
    <w:rsid w:val="00A0736F"/>
    <w:rsid w:val="00A07B35"/>
    <w:rsid w:val="00A22E26"/>
    <w:rsid w:val="00A31F81"/>
    <w:rsid w:val="00A52D81"/>
    <w:rsid w:val="00A932F8"/>
    <w:rsid w:val="00AA5B22"/>
    <w:rsid w:val="00AC47E9"/>
    <w:rsid w:val="00B165A0"/>
    <w:rsid w:val="00B206AE"/>
    <w:rsid w:val="00B31B8F"/>
    <w:rsid w:val="00B470EA"/>
    <w:rsid w:val="00BA5059"/>
    <w:rsid w:val="00BB028C"/>
    <w:rsid w:val="00BB762F"/>
    <w:rsid w:val="00C154D6"/>
    <w:rsid w:val="00C62B3B"/>
    <w:rsid w:val="00C809B8"/>
    <w:rsid w:val="00CA07C3"/>
    <w:rsid w:val="00CB2559"/>
    <w:rsid w:val="00CE2E28"/>
    <w:rsid w:val="00CF5EF8"/>
    <w:rsid w:val="00D15DF1"/>
    <w:rsid w:val="00D173FF"/>
    <w:rsid w:val="00D21C59"/>
    <w:rsid w:val="00D2415F"/>
    <w:rsid w:val="00D24577"/>
    <w:rsid w:val="00D432DF"/>
    <w:rsid w:val="00D477A3"/>
    <w:rsid w:val="00D90364"/>
    <w:rsid w:val="00E17AC2"/>
    <w:rsid w:val="00E43E21"/>
    <w:rsid w:val="00E62160"/>
    <w:rsid w:val="00EC1877"/>
    <w:rsid w:val="00EC3FC5"/>
    <w:rsid w:val="00EC620C"/>
    <w:rsid w:val="00F01236"/>
    <w:rsid w:val="00F1578C"/>
    <w:rsid w:val="00F25F11"/>
    <w:rsid w:val="00F36AE9"/>
    <w:rsid w:val="00F37886"/>
    <w:rsid w:val="00F41487"/>
    <w:rsid w:val="00F91E65"/>
    <w:rsid w:val="00FF5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236"/>
    <w:pPr>
      <w:spacing w:after="0" w:line="240" w:lineRule="auto"/>
    </w:pPr>
    <w:rPr>
      <w:rFonts w:ascii="Times New Roman" w:eastAsia="Times New Roman" w:hAnsi="Times New Roman" w:cs="Times New Roman"/>
      <w:sz w:val="24"/>
      <w:szCs w:val="24"/>
    </w:rPr>
  </w:style>
  <w:style w:type="paragraph" w:styleId="Heading1">
    <w:name w:val="heading 1"/>
    <w:aliases w:val="Chapter,H1"/>
    <w:basedOn w:val="Normal"/>
    <w:next w:val="Normal"/>
    <w:link w:val="Heading1Char"/>
    <w:qFormat/>
    <w:rsid w:val="009F35E7"/>
    <w:pPr>
      <w:keepNext/>
      <w:jc w:val="center"/>
      <w:outlineLvl w:val="0"/>
    </w:pPr>
    <w:rPr>
      <w:b/>
      <w:bCs/>
      <w:color w:val="000000"/>
      <w:sz w:val="1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1236"/>
    <w:pPr>
      <w:tabs>
        <w:tab w:val="center" w:pos="4320"/>
        <w:tab w:val="right" w:pos="8640"/>
      </w:tabs>
    </w:pPr>
  </w:style>
  <w:style w:type="character" w:customStyle="1" w:styleId="HeaderChar">
    <w:name w:val="Header Char"/>
    <w:basedOn w:val="DefaultParagraphFont"/>
    <w:link w:val="Header"/>
    <w:uiPriority w:val="99"/>
    <w:rsid w:val="00F01236"/>
    <w:rPr>
      <w:rFonts w:ascii="Times New Roman" w:eastAsia="Times New Roman" w:hAnsi="Times New Roman" w:cs="Times New Roman"/>
      <w:sz w:val="24"/>
      <w:szCs w:val="24"/>
    </w:rPr>
  </w:style>
  <w:style w:type="paragraph" w:styleId="Footer">
    <w:name w:val="footer"/>
    <w:basedOn w:val="Normal"/>
    <w:link w:val="FooterChar"/>
    <w:uiPriority w:val="99"/>
    <w:rsid w:val="00F01236"/>
    <w:pPr>
      <w:tabs>
        <w:tab w:val="center" w:pos="4320"/>
        <w:tab w:val="right" w:pos="8640"/>
      </w:tabs>
    </w:pPr>
  </w:style>
  <w:style w:type="character" w:customStyle="1" w:styleId="FooterChar">
    <w:name w:val="Footer Char"/>
    <w:basedOn w:val="DefaultParagraphFont"/>
    <w:link w:val="Footer"/>
    <w:uiPriority w:val="99"/>
    <w:rsid w:val="00F01236"/>
    <w:rPr>
      <w:rFonts w:ascii="Times New Roman" w:eastAsia="Times New Roman" w:hAnsi="Times New Roman" w:cs="Times New Roman"/>
      <w:sz w:val="24"/>
      <w:szCs w:val="24"/>
    </w:rPr>
  </w:style>
  <w:style w:type="character" w:styleId="Hyperlink">
    <w:name w:val="Hyperlink"/>
    <w:rsid w:val="00F01236"/>
    <w:rPr>
      <w:color w:val="0000FF"/>
      <w:u w:val="single"/>
    </w:rPr>
  </w:style>
  <w:style w:type="table" w:styleId="TableGrid">
    <w:name w:val="Table Grid"/>
    <w:basedOn w:val="TableNormal"/>
    <w:rsid w:val="00F012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01236"/>
    <w:rPr>
      <w:b/>
      <w:bCs/>
    </w:rPr>
  </w:style>
  <w:style w:type="paragraph" w:styleId="BalloonText">
    <w:name w:val="Balloon Text"/>
    <w:basedOn w:val="Normal"/>
    <w:link w:val="BalloonTextChar"/>
    <w:uiPriority w:val="99"/>
    <w:semiHidden/>
    <w:unhideWhenUsed/>
    <w:rsid w:val="00F01236"/>
    <w:rPr>
      <w:rFonts w:ascii="Tahoma" w:hAnsi="Tahoma" w:cs="Tahoma"/>
      <w:sz w:val="16"/>
      <w:szCs w:val="16"/>
    </w:rPr>
  </w:style>
  <w:style w:type="character" w:customStyle="1" w:styleId="BalloonTextChar">
    <w:name w:val="Balloon Text Char"/>
    <w:basedOn w:val="DefaultParagraphFont"/>
    <w:link w:val="BalloonText"/>
    <w:uiPriority w:val="99"/>
    <w:semiHidden/>
    <w:rsid w:val="00F01236"/>
    <w:rPr>
      <w:rFonts w:ascii="Tahoma" w:eastAsia="Times New Roman" w:hAnsi="Tahoma" w:cs="Tahoma"/>
      <w:sz w:val="16"/>
      <w:szCs w:val="16"/>
    </w:rPr>
  </w:style>
  <w:style w:type="paragraph" w:styleId="ListParagraph">
    <w:name w:val="List Paragraph"/>
    <w:basedOn w:val="Normal"/>
    <w:uiPriority w:val="34"/>
    <w:qFormat/>
    <w:rsid w:val="00914DFA"/>
    <w:pPr>
      <w:ind w:left="720"/>
      <w:contextualSpacing/>
    </w:pPr>
  </w:style>
  <w:style w:type="character" w:customStyle="1" w:styleId="Heading1Char">
    <w:name w:val="Heading 1 Char"/>
    <w:aliases w:val="Chapter Char,H1 Char"/>
    <w:basedOn w:val="DefaultParagraphFont"/>
    <w:link w:val="Heading1"/>
    <w:rsid w:val="009F35E7"/>
    <w:rPr>
      <w:rFonts w:ascii="Times New Roman" w:eastAsia="Times New Roman" w:hAnsi="Times New Roman" w:cs="Times New Roman"/>
      <w:b/>
      <w:bCs/>
      <w:color w:val="000000"/>
      <w:sz w:val="19"/>
      <w:szCs w:val="24"/>
      <w:lang w:val="x-none" w:eastAsia="x-none"/>
    </w:rPr>
  </w:style>
  <w:style w:type="paragraph" w:customStyle="1" w:styleId="Default">
    <w:name w:val="Default"/>
    <w:rsid w:val="00546C64"/>
    <w:pPr>
      <w:autoSpaceDE w:val="0"/>
      <w:autoSpaceDN w:val="0"/>
      <w:adjustRightInd w:val="0"/>
      <w:spacing w:after="0" w:line="240" w:lineRule="auto"/>
    </w:pPr>
    <w:rPr>
      <w:rFonts w:ascii="Times New Roman" w:hAnsi="Times New Roman" w:cs="Times New Roman"/>
      <w:color w:val="000000"/>
      <w:sz w:val="24"/>
      <w:szCs w:val="24"/>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236"/>
    <w:pPr>
      <w:spacing w:after="0" w:line="240" w:lineRule="auto"/>
    </w:pPr>
    <w:rPr>
      <w:rFonts w:ascii="Times New Roman" w:eastAsia="Times New Roman" w:hAnsi="Times New Roman" w:cs="Times New Roman"/>
      <w:sz w:val="24"/>
      <w:szCs w:val="24"/>
    </w:rPr>
  </w:style>
  <w:style w:type="paragraph" w:styleId="Heading1">
    <w:name w:val="heading 1"/>
    <w:aliases w:val="Chapter,H1"/>
    <w:basedOn w:val="Normal"/>
    <w:next w:val="Normal"/>
    <w:link w:val="Heading1Char"/>
    <w:qFormat/>
    <w:rsid w:val="009F35E7"/>
    <w:pPr>
      <w:keepNext/>
      <w:jc w:val="center"/>
      <w:outlineLvl w:val="0"/>
    </w:pPr>
    <w:rPr>
      <w:b/>
      <w:bCs/>
      <w:color w:val="000000"/>
      <w:sz w:val="1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1236"/>
    <w:pPr>
      <w:tabs>
        <w:tab w:val="center" w:pos="4320"/>
        <w:tab w:val="right" w:pos="8640"/>
      </w:tabs>
    </w:pPr>
  </w:style>
  <w:style w:type="character" w:customStyle="1" w:styleId="HeaderChar">
    <w:name w:val="Header Char"/>
    <w:basedOn w:val="DefaultParagraphFont"/>
    <w:link w:val="Header"/>
    <w:uiPriority w:val="99"/>
    <w:rsid w:val="00F01236"/>
    <w:rPr>
      <w:rFonts w:ascii="Times New Roman" w:eastAsia="Times New Roman" w:hAnsi="Times New Roman" w:cs="Times New Roman"/>
      <w:sz w:val="24"/>
      <w:szCs w:val="24"/>
    </w:rPr>
  </w:style>
  <w:style w:type="paragraph" w:styleId="Footer">
    <w:name w:val="footer"/>
    <w:basedOn w:val="Normal"/>
    <w:link w:val="FooterChar"/>
    <w:uiPriority w:val="99"/>
    <w:rsid w:val="00F01236"/>
    <w:pPr>
      <w:tabs>
        <w:tab w:val="center" w:pos="4320"/>
        <w:tab w:val="right" w:pos="8640"/>
      </w:tabs>
    </w:pPr>
  </w:style>
  <w:style w:type="character" w:customStyle="1" w:styleId="FooterChar">
    <w:name w:val="Footer Char"/>
    <w:basedOn w:val="DefaultParagraphFont"/>
    <w:link w:val="Footer"/>
    <w:uiPriority w:val="99"/>
    <w:rsid w:val="00F01236"/>
    <w:rPr>
      <w:rFonts w:ascii="Times New Roman" w:eastAsia="Times New Roman" w:hAnsi="Times New Roman" w:cs="Times New Roman"/>
      <w:sz w:val="24"/>
      <w:szCs w:val="24"/>
    </w:rPr>
  </w:style>
  <w:style w:type="character" w:styleId="Hyperlink">
    <w:name w:val="Hyperlink"/>
    <w:rsid w:val="00F01236"/>
    <w:rPr>
      <w:color w:val="0000FF"/>
      <w:u w:val="single"/>
    </w:rPr>
  </w:style>
  <w:style w:type="table" w:styleId="TableGrid">
    <w:name w:val="Table Grid"/>
    <w:basedOn w:val="TableNormal"/>
    <w:rsid w:val="00F012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01236"/>
    <w:rPr>
      <w:b/>
      <w:bCs/>
    </w:rPr>
  </w:style>
  <w:style w:type="paragraph" w:styleId="BalloonText">
    <w:name w:val="Balloon Text"/>
    <w:basedOn w:val="Normal"/>
    <w:link w:val="BalloonTextChar"/>
    <w:uiPriority w:val="99"/>
    <w:semiHidden/>
    <w:unhideWhenUsed/>
    <w:rsid w:val="00F01236"/>
    <w:rPr>
      <w:rFonts w:ascii="Tahoma" w:hAnsi="Tahoma" w:cs="Tahoma"/>
      <w:sz w:val="16"/>
      <w:szCs w:val="16"/>
    </w:rPr>
  </w:style>
  <w:style w:type="character" w:customStyle="1" w:styleId="BalloonTextChar">
    <w:name w:val="Balloon Text Char"/>
    <w:basedOn w:val="DefaultParagraphFont"/>
    <w:link w:val="BalloonText"/>
    <w:uiPriority w:val="99"/>
    <w:semiHidden/>
    <w:rsid w:val="00F01236"/>
    <w:rPr>
      <w:rFonts w:ascii="Tahoma" w:eastAsia="Times New Roman" w:hAnsi="Tahoma" w:cs="Tahoma"/>
      <w:sz w:val="16"/>
      <w:szCs w:val="16"/>
    </w:rPr>
  </w:style>
  <w:style w:type="paragraph" w:styleId="ListParagraph">
    <w:name w:val="List Paragraph"/>
    <w:basedOn w:val="Normal"/>
    <w:uiPriority w:val="34"/>
    <w:qFormat/>
    <w:rsid w:val="00914DFA"/>
    <w:pPr>
      <w:ind w:left="720"/>
      <w:contextualSpacing/>
    </w:pPr>
  </w:style>
  <w:style w:type="character" w:customStyle="1" w:styleId="Heading1Char">
    <w:name w:val="Heading 1 Char"/>
    <w:aliases w:val="Chapter Char,H1 Char"/>
    <w:basedOn w:val="DefaultParagraphFont"/>
    <w:link w:val="Heading1"/>
    <w:rsid w:val="009F35E7"/>
    <w:rPr>
      <w:rFonts w:ascii="Times New Roman" w:eastAsia="Times New Roman" w:hAnsi="Times New Roman" w:cs="Times New Roman"/>
      <w:b/>
      <w:bCs/>
      <w:color w:val="000000"/>
      <w:sz w:val="19"/>
      <w:szCs w:val="24"/>
      <w:lang w:val="x-none" w:eastAsia="x-none"/>
    </w:rPr>
  </w:style>
  <w:style w:type="paragraph" w:customStyle="1" w:styleId="Default">
    <w:name w:val="Default"/>
    <w:rsid w:val="00546C64"/>
    <w:pPr>
      <w:autoSpaceDE w:val="0"/>
      <w:autoSpaceDN w:val="0"/>
      <w:adjustRightInd w:val="0"/>
      <w:spacing w:after="0" w:line="240" w:lineRule="auto"/>
    </w:pPr>
    <w:rPr>
      <w:rFonts w:ascii="Times New Roman" w:hAnsi="Times New Roman" w:cs="Times New Roman"/>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68428">
      <w:bodyDiv w:val="1"/>
      <w:marLeft w:val="0"/>
      <w:marRight w:val="0"/>
      <w:marTop w:val="0"/>
      <w:marBottom w:val="0"/>
      <w:divBdr>
        <w:top w:val="none" w:sz="0" w:space="0" w:color="auto"/>
        <w:left w:val="none" w:sz="0" w:space="0" w:color="auto"/>
        <w:bottom w:val="none" w:sz="0" w:space="0" w:color="auto"/>
        <w:right w:val="none" w:sz="0" w:space="0" w:color="auto"/>
      </w:divBdr>
    </w:div>
    <w:div w:id="491336808">
      <w:bodyDiv w:val="1"/>
      <w:marLeft w:val="0"/>
      <w:marRight w:val="0"/>
      <w:marTop w:val="0"/>
      <w:marBottom w:val="0"/>
      <w:divBdr>
        <w:top w:val="none" w:sz="0" w:space="0" w:color="auto"/>
        <w:left w:val="none" w:sz="0" w:space="0" w:color="auto"/>
        <w:bottom w:val="none" w:sz="0" w:space="0" w:color="auto"/>
        <w:right w:val="none" w:sz="0" w:space="0" w:color="auto"/>
      </w:divBdr>
    </w:div>
    <w:div w:id="82801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customerservice@msei.i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msei.in" TargetMode="External"/><Relationship Id="rId1" Type="http://schemas.openxmlformats.org/officeDocument/2006/relationships/hyperlink" Target="mailto:customerservice@msei.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86A4223-C9FE-4949-A50C-BEC12AFE8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37BA056-3D7D-437C-A072-36CBECB38320}">
  <ds:schemaRefs>
    <ds:schemaRef ds:uri="http://schemas.microsoft.com/sharepoint/v3/contenttype/forms"/>
  </ds:schemaRefs>
</ds:datastoreItem>
</file>

<file path=customXml/itemProps3.xml><?xml version="1.0" encoding="utf-8"?>
<ds:datastoreItem xmlns:ds="http://schemas.openxmlformats.org/officeDocument/2006/customXml" ds:itemID="{C56FBD96-4D54-498D-B9A5-ED45D8C2BD1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Shalini Rebeiro/MCX-SX/Market Operations</dc:creator>
  <cp:lastModifiedBy>Ashok Chandaria/MSEI/Finance &amp; Accounts</cp:lastModifiedBy>
  <cp:revision>6</cp:revision>
  <cp:lastPrinted>2019-06-12T07:35:00Z</cp:lastPrinted>
  <dcterms:created xsi:type="dcterms:W3CDTF">2019-06-12T07:24:00Z</dcterms:created>
  <dcterms:modified xsi:type="dcterms:W3CDTF">2019-06-12T07:39:00Z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File_x0020_Server">
    <vt:bool>true</vt:bool>
  </property>
</Properties>
</file>